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5533D9" w14:textId="1EB781D7" w:rsidR="00A20786" w:rsidRPr="00B266B0" w:rsidRDefault="00A20786" w:rsidP="00A2078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#122</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230</w:t>
      </w:r>
      <w:r w:rsidR="00226E88">
        <w:rPr>
          <w:bCs/>
          <w:noProof w:val="0"/>
          <w:sz w:val="24"/>
          <w:szCs w:val="24"/>
        </w:rPr>
        <w:t>6366</w:t>
      </w:r>
    </w:p>
    <w:p w14:paraId="35B2FDE0" w14:textId="12BDECCE" w:rsidR="00A20786" w:rsidRPr="007352FF" w:rsidRDefault="00A20786" w:rsidP="00A20786">
      <w:pPr>
        <w:pStyle w:val="Header"/>
        <w:tabs>
          <w:tab w:val="right" w:pos="9639"/>
        </w:tabs>
        <w:rPr>
          <w:rFonts w:eastAsia="SimSun"/>
          <w:bCs/>
          <w:sz w:val="24"/>
          <w:szCs w:val="24"/>
          <w:lang w:eastAsia="zh-CN"/>
        </w:rPr>
      </w:pPr>
      <w:r w:rsidRPr="002240E0">
        <w:rPr>
          <w:rFonts w:eastAsia="SimSun"/>
          <w:bCs/>
          <w:sz w:val="24"/>
          <w:szCs w:val="24"/>
          <w:lang w:eastAsia="zh-CN"/>
        </w:rPr>
        <w:t>Incheon, South Korea, 22– 26 May 202</w:t>
      </w:r>
      <w:r>
        <w:rPr>
          <w:rFonts w:eastAsia="SimSun"/>
          <w:bCs/>
          <w:sz w:val="24"/>
          <w:szCs w:val="24"/>
          <w:lang w:eastAsia="zh-CN"/>
        </w:rPr>
        <w:t>3</w:t>
      </w:r>
      <w:r>
        <w:rPr>
          <w:rFonts w:eastAsia="SimSun"/>
          <w:noProof w:val="0"/>
          <w:sz w:val="24"/>
          <w:szCs w:val="24"/>
          <w:lang w:eastAsia="zh-CN"/>
        </w:rPr>
        <w:tab/>
      </w:r>
    </w:p>
    <w:p w14:paraId="5E566A0E" w14:textId="77777777" w:rsidR="00FA457F" w:rsidRPr="00A20786" w:rsidRDefault="00FA457F" w:rsidP="00FA457F">
      <w:pPr>
        <w:pStyle w:val="Header"/>
        <w:rPr>
          <w:bCs/>
          <w:noProof w:val="0"/>
          <w:sz w:val="24"/>
        </w:rPr>
      </w:pP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441E2008"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3221B0">
        <w:rPr>
          <w:rFonts w:cs="Arial"/>
          <w:b/>
          <w:bCs/>
          <w:sz w:val="24"/>
        </w:rPr>
        <w:t>7</w:t>
      </w:r>
      <w:r w:rsidR="00295252" w:rsidRPr="00295252">
        <w:rPr>
          <w:rFonts w:cs="Arial"/>
          <w:b/>
          <w:bCs/>
          <w:sz w:val="24"/>
          <w:lang w:eastAsia="ja-JP"/>
        </w:rPr>
        <w:t>.10.</w:t>
      </w:r>
      <w:r w:rsidR="00FA457F">
        <w:rPr>
          <w:rFonts w:cs="Arial"/>
          <w:b/>
          <w:bCs/>
          <w:sz w:val="24"/>
          <w:lang w:eastAsia="ja-JP"/>
        </w:rPr>
        <w:t>3</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1F82D014"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B84FD2">
        <w:rPr>
          <w:rFonts w:ascii="Arial" w:hAnsi="Arial" w:cs="Arial"/>
          <w:b/>
          <w:bCs/>
          <w:sz w:val="24"/>
        </w:rPr>
        <w:t>Autonomous Denial Aspects</w:t>
      </w:r>
    </w:p>
    <w:p w14:paraId="25F387E8" w14:textId="7812F3F6"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890A7D" w:rsidRPr="00890A7D">
        <w:rPr>
          <w:rFonts w:ascii="Arial" w:hAnsi="Arial" w:cs="Arial"/>
          <w:b/>
          <w:bCs/>
          <w:sz w:val="24"/>
        </w:rPr>
        <w:t>NR_IDC_enh-Core</w:t>
      </w:r>
      <w:r w:rsidRPr="00112F1A">
        <w:rPr>
          <w:rFonts w:ascii="Arial" w:hAnsi="Arial" w:cs="Arial"/>
          <w:b/>
          <w:bCs/>
          <w:sz w:val="24"/>
        </w:rPr>
        <w:t xml:space="preserve"> </w:t>
      </w:r>
      <w:r>
        <w:rPr>
          <w:rFonts w:ascii="Arial" w:hAnsi="Arial" w:cs="Arial"/>
          <w:b/>
          <w:bCs/>
          <w:sz w:val="24"/>
        </w:rPr>
        <w:t xml:space="preserve">- Release </w:t>
      </w:r>
      <w:r w:rsidR="00890A7D">
        <w:rPr>
          <w:rFonts w:ascii="Arial" w:hAnsi="Arial" w:cs="Arial"/>
          <w:b/>
          <w:bCs/>
          <w:sz w:val="24"/>
        </w:rPr>
        <w:t>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47006824" w:rsidR="00A209D6" w:rsidRDefault="00A209D6" w:rsidP="00A209D6">
      <w:pPr>
        <w:pStyle w:val="Heading1"/>
      </w:pPr>
      <w:r w:rsidRPr="006E13D1">
        <w:t>1</w:t>
      </w:r>
      <w:r w:rsidRPr="006E13D1">
        <w:tab/>
      </w:r>
      <w:r>
        <w:t>Introduction</w:t>
      </w:r>
    </w:p>
    <w:p w14:paraId="586471BA" w14:textId="35CE7D9C" w:rsidR="007E5A10" w:rsidRDefault="00DA2FF2" w:rsidP="007E5A10">
      <w:r>
        <w:t>In this paper we discuss open issues for autonomous denial</w:t>
      </w:r>
    </w:p>
    <w:p w14:paraId="7D484B6E" w14:textId="4E1C17DA" w:rsidR="009339CB" w:rsidRDefault="009339CB" w:rsidP="009339CB">
      <w:pPr>
        <w:pStyle w:val="Heading1"/>
      </w:pPr>
      <w:r w:rsidRPr="006E13D1">
        <w:t>2</w:t>
      </w:r>
      <w:r w:rsidRPr="006E13D1">
        <w:tab/>
      </w:r>
      <w:r w:rsidR="000A77B7">
        <w:t>Discussion</w:t>
      </w:r>
    </w:p>
    <w:p w14:paraId="682EECA0" w14:textId="77777777" w:rsidR="001D6FA0" w:rsidRDefault="001D6FA0" w:rsidP="001D6FA0">
      <w:pPr>
        <w:pStyle w:val="B1"/>
        <w:ind w:left="0" w:firstLine="0"/>
        <w:rPr>
          <w:lang w:eastAsia="zh-CN"/>
        </w:rPr>
      </w:pPr>
      <w:r>
        <w:rPr>
          <w:lang w:eastAsia="zh-CN"/>
        </w:rPr>
        <w:t>The following FFS(s) are quoted from the endorsed CRs given in the reference section.</w:t>
      </w:r>
    </w:p>
    <w:tbl>
      <w:tblPr>
        <w:tblStyle w:val="TableGrid"/>
        <w:tblW w:w="0" w:type="auto"/>
        <w:tblLook w:val="04A0" w:firstRow="1" w:lastRow="0" w:firstColumn="1" w:lastColumn="0" w:noHBand="0" w:noVBand="1"/>
      </w:tblPr>
      <w:tblGrid>
        <w:gridCol w:w="9631"/>
      </w:tblGrid>
      <w:tr w:rsidR="001D6FA0" w14:paraId="177B5C82" w14:textId="77777777" w:rsidTr="005D051A">
        <w:tc>
          <w:tcPr>
            <w:tcW w:w="9631" w:type="dxa"/>
          </w:tcPr>
          <w:p w14:paraId="6B38A611" w14:textId="77777777" w:rsidR="001D6FA0" w:rsidRDefault="001D6FA0" w:rsidP="005D051A">
            <w:pPr>
              <w:rPr>
                <w:lang w:eastAsia="zh-CN"/>
              </w:rPr>
            </w:pPr>
            <w:r>
              <w:t xml:space="preserve">R2-2304331 </w:t>
            </w:r>
            <w:r>
              <w:tab/>
              <w:t>38.331 running CR for introduction of IDC</w:t>
            </w:r>
            <w:r>
              <w:tab/>
              <w:t>Xiaomi</w:t>
            </w:r>
            <w:r>
              <w:tab/>
              <w:t>draftCR</w:t>
            </w:r>
            <w:r>
              <w:tab/>
              <w:t>Rel-18</w:t>
            </w:r>
            <w:r>
              <w:tab/>
              <w:t>38.331</w:t>
            </w:r>
            <w:r>
              <w:tab/>
              <w:t>17.4.0</w:t>
            </w:r>
            <w:r>
              <w:tab/>
              <w:t>NR_IDC_enh-Core</w:t>
            </w:r>
          </w:p>
          <w:p w14:paraId="7747C240" w14:textId="77777777" w:rsidR="001D6FA0" w:rsidRDefault="001D6FA0" w:rsidP="005D051A">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the </w:t>
            </w:r>
            <w:r>
              <w:rPr>
                <w:rFonts w:eastAsia="Times New Roman"/>
                <w:i/>
                <w:lang w:eastAsia="ja-JP"/>
              </w:rPr>
              <w:t>CellGroupConfig</w:t>
            </w:r>
            <w:r>
              <w:rPr>
                <w:rFonts w:eastAsia="Times New Roman"/>
                <w:lang w:eastAsia="ja-JP"/>
              </w:rPr>
              <w:t xml:space="preserve"> contains the </w:t>
            </w:r>
            <w:r>
              <w:rPr>
                <w:i/>
              </w:rPr>
              <w:t>autonomousDenialParameters</w:t>
            </w:r>
            <w:r>
              <w:rPr>
                <w:rFonts w:eastAsia="Times New Roman"/>
                <w:lang w:eastAsia="ja-JP"/>
              </w:rPr>
              <w:t>:</w:t>
            </w:r>
          </w:p>
          <w:p w14:paraId="16F3F6A1" w14:textId="77777777" w:rsidR="001D6FA0" w:rsidRDefault="001D6FA0" w:rsidP="005D051A">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r>
            <w:r>
              <w:t xml:space="preserve">consider itself to be allowed to deny any transmission in a particular UL slot if during the number of slots indicated by </w:t>
            </w:r>
            <w:r>
              <w:rPr>
                <w:i/>
              </w:rPr>
              <w:t>autonomousDenialValidity</w:t>
            </w:r>
            <w:r>
              <w:t xml:space="preserve">, preceding and including this particular slot, it autonomously denied fewer UL slots than indicated by </w:t>
            </w:r>
            <w:r>
              <w:rPr>
                <w:i/>
              </w:rPr>
              <w:t>autonomousDenialSlots</w:t>
            </w:r>
            <w:r>
              <w:rPr>
                <w:iCs/>
              </w:rPr>
              <w:t xml:space="preserve"> within the same cell group</w:t>
            </w:r>
            <w:r>
              <w:rPr>
                <w:rFonts w:eastAsia="Times New Roman"/>
                <w:lang w:eastAsia="ja-JP"/>
              </w:rPr>
              <w:t>;</w:t>
            </w:r>
          </w:p>
          <w:p w14:paraId="28494F30" w14:textId="77777777" w:rsidR="001D6FA0" w:rsidRDefault="001D6FA0" w:rsidP="005D051A">
            <w:pPr>
              <w:rPr>
                <w:lang w:eastAsia="zh-CN"/>
              </w:rPr>
            </w:pPr>
            <w:bookmarkStart w:id="0" w:name="_Hlk134691748"/>
            <w:r>
              <w:rPr>
                <w:lang w:eastAsia="zh-CN"/>
              </w:rPr>
              <w:t xml:space="preserve">Editor’s Note: FFS whether the </w:t>
            </w:r>
            <w:r>
              <w:rPr>
                <w:rFonts w:eastAsia="Times New Roman"/>
                <w:lang w:eastAsia="ja-JP"/>
              </w:rPr>
              <w:t xml:space="preserve">UE sums up the denied UL slots together across all CC(s) in the CG </w:t>
            </w:r>
            <w:r>
              <w:rPr>
                <w:lang w:eastAsia="zh-CN"/>
              </w:rPr>
              <w:t xml:space="preserve">and </w:t>
            </w:r>
            <w:r>
              <w:rPr>
                <w:rFonts w:eastAsia="Times New Roman"/>
                <w:lang w:eastAsia="ja-JP"/>
              </w:rPr>
              <w:t>how the UE calculates the number of denied slots when different CCs have different slot length.</w:t>
            </w:r>
          </w:p>
          <w:bookmarkEnd w:id="0"/>
          <w:p w14:paraId="1F6FAFF8" w14:textId="77777777" w:rsidR="001D6FA0" w:rsidRDefault="001D6FA0" w:rsidP="005D051A">
            <w:pPr>
              <w:rPr>
                <w:lang w:eastAsia="zh-CN"/>
              </w:rPr>
            </w:pPr>
            <w:r>
              <w:rPr>
                <w:lang w:eastAsia="zh-CN"/>
              </w:rPr>
              <w:t>Editor’s Note: FFS whether the NR autonomous denial configuration and the LTE autonomous denial configuration can be configured simultaneous for EN-DC</w:t>
            </w:r>
            <w:r>
              <w:rPr>
                <w:rFonts w:eastAsia="Times New Roman"/>
                <w:lang w:eastAsia="ja-JP"/>
              </w:rPr>
              <w:t>.</w:t>
            </w:r>
          </w:p>
          <w:p w14:paraId="1ABE742B" w14:textId="77777777" w:rsidR="001D6FA0" w:rsidRDefault="001D6FA0" w:rsidP="005D051A">
            <w:pPr>
              <w:rPr>
                <w:lang w:eastAsia="zh-CN"/>
              </w:rPr>
            </w:pPr>
            <w:r>
              <w:rPr>
                <w:rFonts w:eastAsiaTheme="minorEastAsia"/>
                <w:lang w:eastAsia="zh-CN"/>
              </w:rPr>
              <w:t xml:space="preserve">Editor’s note: FFS on the UE behaviour when receiving </w:t>
            </w:r>
            <w:r>
              <w:rPr>
                <w:i/>
              </w:rPr>
              <w:t>autonomousDenialValidity</w:t>
            </w:r>
            <w:r>
              <w:t>.</w:t>
            </w:r>
          </w:p>
        </w:tc>
      </w:tr>
    </w:tbl>
    <w:p w14:paraId="67ACB880" w14:textId="77777777" w:rsidR="001D6FA0" w:rsidRDefault="001D6FA0" w:rsidP="001D6FA0"/>
    <w:p w14:paraId="221FCEAD" w14:textId="40F18448" w:rsidR="001D6FA0" w:rsidRDefault="00B702CA" w:rsidP="001D6FA0">
      <w:r>
        <w:t>Regarding:</w:t>
      </w:r>
    </w:p>
    <w:p w14:paraId="3D0FE34F" w14:textId="26386B95" w:rsidR="00B702CA" w:rsidRPr="00B702CA" w:rsidRDefault="00B702CA" w:rsidP="001D6FA0">
      <w:pPr>
        <w:rPr>
          <w:i/>
          <w:iCs/>
        </w:rPr>
      </w:pPr>
      <w:r w:rsidRPr="00B702CA">
        <w:rPr>
          <w:rFonts w:eastAsiaTheme="minorEastAsia"/>
          <w:i/>
          <w:iCs/>
          <w:lang w:eastAsia="zh-CN"/>
        </w:rPr>
        <w:t xml:space="preserve">Editor’s note: FFS on the UE behaviour when receiving </w:t>
      </w:r>
      <w:r w:rsidRPr="00B702CA">
        <w:rPr>
          <w:i/>
          <w:iCs/>
        </w:rPr>
        <w:t>autonomousDenialValidity.</w:t>
      </w:r>
    </w:p>
    <w:p w14:paraId="2F9C1589" w14:textId="4E143638" w:rsidR="001D6FA0" w:rsidRDefault="00C66330" w:rsidP="001D6FA0">
      <w:r>
        <w:t>In our view we see really no difference to LTE in this aspect and secondly this seems to be mostly anyway RAN4 issue to determine when the “counting” is started and how that is defined. It should be just clear that UE would not “deny” more slots than is allowed by the standards.</w:t>
      </w:r>
    </w:p>
    <w:p w14:paraId="540CC124" w14:textId="1466BD8B" w:rsidR="00C66330" w:rsidRPr="00C66330" w:rsidRDefault="00C66330" w:rsidP="001D6FA0">
      <w:r>
        <w:rPr>
          <w:b/>
          <w:bCs/>
        </w:rPr>
        <w:t xml:space="preserve">Proposal 1: </w:t>
      </w:r>
      <w:r>
        <w:t>No need to define any more details in RAN2 regarding UE behaviour on autonomous denial</w:t>
      </w:r>
      <w:r w:rsidR="00303E2F">
        <w:t>. Remove the FFS</w:t>
      </w:r>
    </w:p>
    <w:p w14:paraId="5EAA85AC" w14:textId="77777777" w:rsidR="00B676B8" w:rsidRDefault="00B676B8" w:rsidP="00B676B8">
      <w:r>
        <w:t>Regarding:</w:t>
      </w:r>
    </w:p>
    <w:p w14:paraId="4ED70B19" w14:textId="77777777" w:rsidR="00B676B8" w:rsidRPr="00B702CA" w:rsidRDefault="00B676B8" w:rsidP="00B676B8">
      <w:pPr>
        <w:rPr>
          <w:i/>
          <w:iCs/>
        </w:rPr>
      </w:pPr>
      <w:r w:rsidRPr="00B702CA">
        <w:rPr>
          <w:rFonts w:eastAsiaTheme="minorEastAsia"/>
          <w:i/>
          <w:iCs/>
          <w:lang w:eastAsia="zh-CN"/>
        </w:rPr>
        <w:t>Editor’s Note: FFS whether the NR autonomous denial configuration and the LTE autonomous denial configuration can be configured simultaneous for EN-DC.</w:t>
      </w:r>
      <w:r w:rsidRPr="00B702CA">
        <w:rPr>
          <w:i/>
          <w:iCs/>
        </w:rPr>
        <w:t>.</w:t>
      </w:r>
    </w:p>
    <w:p w14:paraId="6951834B" w14:textId="2672BD8B" w:rsidR="00B702CA" w:rsidRDefault="00E6655D" w:rsidP="001D6FA0">
      <w:r>
        <w:t xml:space="preserve">We would find it quite odd if NW is not allowed to configure simultaneously. If this would be banned we would require more detailed information exchange in NW between RATs on this aspects and also it seems valid that denial should be allowed on both of the system  - it seems inevitable that if denial is needed it may be needed in both systems. But also </w:t>
      </w:r>
      <w:r>
        <w:lastRenderedPageBreak/>
        <w:t xml:space="preserve">we don’t really see any specification impact from this allowance. At most possibly clarification in LTE specification may be required that what “per UE” means </w:t>
      </w:r>
      <w:r w:rsidR="00303E2F">
        <w:t>in this context when autonomous denial is also introduced in NR.</w:t>
      </w:r>
    </w:p>
    <w:p w14:paraId="5D426180" w14:textId="41D257BD" w:rsidR="00303E2F" w:rsidRPr="00303E2F" w:rsidRDefault="00303E2F" w:rsidP="001D6FA0">
      <w:r>
        <w:rPr>
          <w:b/>
          <w:bCs/>
        </w:rPr>
        <w:t xml:space="preserve">Proposal 2:  </w:t>
      </w:r>
      <w:r>
        <w:t xml:space="preserve">No changes needed in NR </w:t>
      </w:r>
      <w:r w:rsidR="00673702">
        <w:t xml:space="preserve">CRs to allow simultaneous configuration of autonomous denial in NR and LTE. Consider possible clarification in R18 LTE specification regarding what per UE autonomous denial configuration means. </w:t>
      </w:r>
      <w:r>
        <w:t>Remove the FFS.</w:t>
      </w:r>
    </w:p>
    <w:p w14:paraId="578BBB6D" w14:textId="77777777" w:rsidR="00B702CA" w:rsidRDefault="00B702CA" w:rsidP="00B702CA">
      <w:r>
        <w:t>Regarding:</w:t>
      </w:r>
    </w:p>
    <w:p w14:paraId="23784214" w14:textId="66629D81" w:rsidR="00B702CA" w:rsidRDefault="00B702CA" w:rsidP="001D6FA0">
      <w:r w:rsidRPr="00B702CA">
        <w:rPr>
          <w:rFonts w:eastAsiaTheme="minorEastAsia"/>
          <w:i/>
          <w:iCs/>
          <w:lang w:eastAsia="zh-CN"/>
        </w:rPr>
        <w:t>Editor’s Note: FFS whether the UE sums up the denied UL slots together across all CC(s) in the CG and how the UE calculates the number of denied slots when different CCs have different slot length.</w:t>
      </w:r>
    </w:p>
    <w:p w14:paraId="64A6FA06" w14:textId="26E9465F" w:rsidR="009A2D16" w:rsidRPr="009A2D16" w:rsidRDefault="006C4138" w:rsidP="009A2D16">
      <w:pPr>
        <w:rPr>
          <w:bCs/>
          <w:lang w:val="en-US" w:eastAsia="zh-CN"/>
        </w:rPr>
      </w:pPr>
      <w:r>
        <w:t xml:space="preserve">Already in LTE we have agreed </w:t>
      </w:r>
      <w:r w:rsidR="00AD6326">
        <w:t xml:space="preserve">on this issue as pointed by ZTE in the email discussion prior </w:t>
      </w:r>
      <w:r w:rsidR="00AD6326" w:rsidRPr="009A2D16">
        <w:t>the meeting</w:t>
      </w:r>
      <w:r w:rsidR="009A2D16" w:rsidRPr="009A2D16">
        <w:t xml:space="preserve"> b</w:t>
      </w:r>
      <w:r w:rsidR="009A2D16" w:rsidRPr="009A2D16">
        <w:rPr>
          <w:bCs/>
          <w:lang w:val="en-US" w:eastAsia="zh-CN"/>
        </w:rPr>
        <w:t xml:space="preserve">ase on paper </w:t>
      </w:r>
      <w:hyperlink r:id="rId12" w:history="1">
        <w:r w:rsidR="009A2D16" w:rsidRPr="009A2D16">
          <w:rPr>
            <w:rStyle w:val="Hyperlink"/>
          </w:rPr>
          <w:t>R2-130589</w:t>
        </w:r>
      </w:hyperlink>
      <w:r w:rsidR="009A2D16" w:rsidRPr="009A2D16">
        <w:rPr>
          <w:rStyle w:val="Hyperlink"/>
          <w:lang w:val="en-US" w:eastAsia="zh-CN"/>
        </w:rPr>
        <w:t xml:space="preserve"> RAN2 #81):</w:t>
      </w:r>
    </w:p>
    <w:p w14:paraId="52F1F612" w14:textId="74D2A007" w:rsidR="00AD6326" w:rsidRPr="009A2D16" w:rsidRDefault="009A2D16" w:rsidP="009A2D16">
      <w:r w:rsidRPr="009A2D16">
        <w:t>=&gt;</w:t>
      </w:r>
      <w:r w:rsidRPr="009A2D16">
        <w:tab/>
        <w:t>RAN2 confirms that there is just one counter. If the UE denies on one (or more) serving cells in a certain subframe, it counts it as one denial</w:t>
      </w:r>
    </w:p>
    <w:p w14:paraId="79915F66" w14:textId="0F073665" w:rsidR="00B702CA" w:rsidRDefault="00E954B8" w:rsidP="001D6FA0">
      <w:r>
        <w:t xml:space="preserve">We should also note that this counting is purely for avoiding UE to </w:t>
      </w:r>
      <w:r w:rsidR="002561BC">
        <w:t xml:space="preserve">deny unnecessarily many slots. UE may omit denying in any SCell if it does not see it necessary. Thus we </w:t>
      </w:r>
      <w:r w:rsidR="0004696E">
        <w:t>see that we can follow LTE principle here denying is common for all the SCells</w:t>
      </w:r>
    </w:p>
    <w:p w14:paraId="7DC0C6B5" w14:textId="4F913DF4" w:rsidR="0004696E" w:rsidRPr="0004696E" w:rsidRDefault="0004696E" w:rsidP="001D6FA0">
      <w:r>
        <w:rPr>
          <w:b/>
          <w:bCs/>
        </w:rPr>
        <w:t xml:space="preserve">Proposal 3: </w:t>
      </w:r>
      <w:r w:rsidR="00BB016A">
        <w:t>Denying is “common” for all the SCells i.e. only one deny counter per serving cells of a RAT</w:t>
      </w:r>
    </w:p>
    <w:p w14:paraId="07933CF3" w14:textId="77777777" w:rsidR="00B702CA" w:rsidRDefault="00B702CA" w:rsidP="001D6FA0"/>
    <w:p w14:paraId="2EB4341E" w14:textId="77777777" w:rsidR="00B702CA" w:rsidRPr="001D6FA0" w:rsidRDefault="00B702CA" w:rsidP="001D6FA0"/>
    <w:p w14:paraId="69B7B8E6" w14:textId="248A537B" w:rsidR="009339CB" w:rsidRPr="006E13D1" w:rsidRDefault="005A13AB" w:rsidP="009339CB">
      <w:pPr>
        <w:pStyle w:val="Heading1"/>
      </w:pPr>
      <w:r>
        <w:t>3</w:t>
      </w:r>
      <w:r w:rsidR="009339CB" w:rsidRPr="006E13D1">
        <w:tab/>
      </w:r>
      <w:r w:rsidR="009339CB">
        <w:t>Conclusion</w:t>
      </w:r>
    </w:p>
    <w:p w14:paraId="14FC2515" w14:textId="77777777" w:rsidR="006731C0" w:rsidRPr="00C66330" w:rsidRDefault="006731C0" w:rsidP="006731C0">
      <w:r>
        <w:rPr>
          <w:b/>
          <w:bCs/>
        </w:rPr>
        <w:t xml:space="preserve">Proposal 1: </w:t>
      </w:r>
      <w:r>
        <w:t>No need to define any more details in RAN2 regarding UE behaviour on autonomous denial. Remove the FFS</w:t>
      </w:r>
    </w:p>
    <w:p w14:paraId="6861F1E3" w14:textId="77777777" w:rsidR="006731C0" w:rsidRPr="00303E2F" w:rsidRDefault="006731C0" w:rsidP="006731C0">
      <w:r>
        <w:rPr>
          <w:b/>
          <w:bCs/>
        </w:rPr>
        <w:t xml:space="preserve">Proposal 2:  </w:t>
      </w:r>
      <w:r>
        <w:t>No changes needed in NR CRs to allow simultaneous configuration of autonomous denial in NR and LTE. Consider possible clarification in R18 LTE specification regarding what per UE autonomous denial configuration means. Remove the FFS.</w:t>
      </w:r>
    </w:p>
    <w:p w14:paraId="0382DF70" w14:textId="77777777" w:rsidR="006731C0" w:rsidRPr="0004696E" w:rsidRDefault="006731C0" w:rsidP="006731C0">
      <w:r>
        <w:rPr>
          <w:b/>
          <w:bCs/>
        </w:rPr>
        <w:t xml:space="preserve">Proposal 3: </w:t>
      </w:r>
      <w:r>
        <w:t>Denying is “common” for all the SCells i.e. only one deny counter per serving cells of a RAT</w:t>
      </w:r>
    </w:p>
    <w:p w14:paraId="35F222F4" w14:textId="1DEFD647" w:rsidR="00080512" w:rsidRPr="00A209D6" w:rsidRDefault="00080512" w:rsidP="006731C0"/>
    <w:sectPr w:rsidR="00080512" w:rsidRPr="00A209D6">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567C71" w14:textId="77777777" w:rsidR="00374022" w:rsidRDefault="00374022">
      <w:r>
        <w:separator/>
      </w:r>
    </w:p>
  </w:endnote>
  <w:endnote w:type="continuationSeparator" w:id="0">
    <w:p w14:paraId="63B9FC4E" w14:textId="77777777" w:rsidR="00374022" w:rsidRDefault="00374022">
      <w:r>
        <w:continuationSeparator/>
      </w:r>
    </w:p>
  </w:endnote>
  <w:endnote w:type="continuationNotice" w:id="1">
    <w:p w14:paraId="38082876" w14:textId="77777777" w:rsidR="00374022" w:rsidRDefault="0037402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Helvetica">
    <w:panose1 w:val="020B0604020202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4CAC97" w14:textId="77777777" w:rsidR="00374022" w:rsidRDefault="00374022">
      <w:r>
        <w:separator/>
      </w:r>
    </w:p>
  </w:footnote>
  <w:footnote w:type="continuationSeparator" w:id="0">
    <w:p w14:paraId="250EAD9C" w14:textId="77777777" w:rsidR="00374022" w:rsidRDefault="00374022">
      <w:r>
        <w:continuationSeparator/>
      </w:r>
    </w:p>
  </w:footnote>
  <w:footnote w:type="continuationNotice" w:id="1">
    <w:p w14:paraId="58A8BFD2" w14:textId="77777777" w:rsidR="00374022" w:rsidRDefault="0037402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EA2EB0"/>
    <w:multiLevelType w:val="hybridMultilevel"/>
    <w:tmpl w:val="DF3492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 w15:restartNumberingAfterBreak="0">
    <w:nsid w:val="63B30E39"/>
    <w:multiLevelType w:val="hybridMultilevel"/>
    <w:tmpl w:val="9C805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5375723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3678131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58878034">
    <w:abstractNumId w:val="2"/>
  </w:num>
  <w:num w:numId="4" w16cid:durableId="1428884426">
    <w:abstractNumId w:val="4"/>
  </w:num>
  <w:num w:numId="5" w16cid:durableId="93014256">
    <w:abstractNumId w:val="3"/>
  </w:num>
  <w:num w:numId="6" w16cid:durableId="500852854">
    <w:abstractNumId w:val="5"/>
  </w:num>
  <w:num w:numId="7" w16cid:durableId="181168266">
    <w:abstractNumId w:val="6"/>
  </w:num>
  <w:num w:numId="8" w16cid:durableId="519857018">
    <w:abstractNumId w:val="7"/>
  </w:num>
  <w:num w:numId="9" w16cid:durableId="145537020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C40"/>
    <w:rsid w:val="00033397"/>
    <w:rsid w:val="00037C72"/>
    <w:rsid w:val="00040095"/>
    <w:rsid w:val="0004696E"/>
    <w:rsid w:val="00065268"/>
    <w:rsid w:val="00073C9C"/>
    <w:rsid w:val="00074DD4"/>
    <w:rsid w:val="00076412"/>
    <w:rsid w:val="00077905"/>
    <w:rsid w:val="00080512"/>
    <w:rsid w:val="00090468"/>
    <w:rsid w:val="00092E52"/>
    <w:rsid w:val="00094568"/>
    <w:rsid w:val="000A68FF"/>
    <w:rsid w:val="000A77B7"/>
    <w:rsid w:val="000B0651"/>
    <w:rsid w:val="000B61ED"/>
    <w:rsid w:val="000B7BCF"/>
    <w:rsid w:val="000C522B"/>
    <w:rsid w:val="000C5C53"/>
    <w:rsid w:val="000D58AB"/>
    <w:rsid w:val="000E2177"/>
    <w:rsid w:val="000F6E70"/>
    <w:rsid w:val="00112F1A"/>
    <w:rsid w:val="00130DF3"/>
    <w:rsid w:val="00145075"/>
    <w:rsid w:val="00156F6E"/>
    <w:rsid w:val="00162A0B"/>
    <w:rsid w:val="001741A0"/>
    <w:rsid w:val="00175FA0"/>
    <w:rsid w:val="001802AB"/>
    <w:rsid w:val="00194CD0"/>
    <w:rsid w:val="001B49C9"/>
    <w:rsid w:val="001C23F4"/>
    <w:rsid w:val="001C4F79"/>
    <w:rsid w:val="001D27DC"/>
    <w:rsid w:val="001D6FA0"/>
    <w:rsid w:val="001F168B"/>
    <w:rsid w:val="001F7831"/>
    <w:rsid w:val="00204045"/>
    <w:rsid w:val="0020712B"/>
    <w:rsid w:val="0022606D"/>
    <w:rsid w:val="00226E88"/>
    <w:rsid w:val="00231728"/>
    <w:rsid w:val="00244A05"/>
    <w:rsid w:val="00250404"/>
    <w:rsid w:val="002508EC"/>
    <w:rsid w:val="00255B86"/>
    <w:rsid w:val="002561BC"/>
    <w:rsid w:val="00256B74"/>
    <w:rsid w:val="002610D8"/>
    <w:rsid w:val="00263035"/>
    <w:rsid w:val="00272AF5"/>
    <w:rsid w:val="002744A3"/>
    <w:rsid w:val="002747EC"/>
    <w:rsid w:val="00282D22"/>
    <w:rsid w:val="002855BF"/>
    <w:rsid w:val="0029404C"/>
    <w:rsid w:val="00295252"/>
    <w:rsid w:val="002B2988"/>
    <w:rsid w:val="002E63DF"/>
    <w:rsid w:val="002F0D22"/>
    <w:rsid w:val="002F52B7"/>
    <w:rsid w:val="00303E2F"/>
    <w:rsid w:val="0030696A"/>
    <w:rsid w:val="00311B17"/>
    <w:rsid w:val="00315E1A"/>
    <w:rsid w:val="003172DC"/>
    <w:rsid w:val="003221B0"/>
    <w:rsid w:val="00325AE3"/>
    <w:rsid w:val="00326069"/>
    <w:rsid w:val="00340370"/>
    <w:rsid w:val="0035462D"/>
    <w:rsid w:val="00363818"/>
    <w:rsid w:val="0036459E"/>
    <w:rsid w:val="00364B41"/>
    <w:rsid w:val="00374022"/>
    <w:rsid w:val="00383096"/>
    <w:rsid w:val="0039346C"/>
    <w:rsid w:val="003A1440"/>
    <w:rsid w:val="003A41EF"/>
    <w:rsid w:val="003B128F"/>
    <w:rsid w:val="003B40AD"/>
    <w:rsid w:val="003C06D4"/>
    <w:rsid w:val="003C4E37"/>
    <w:rsid w:val="003E16BE"/>
    <w:rsid w:val="003E47FA"/>
    <w:rsid w:val="003F4E28"/>
    <w:rsid w:val="004006E8"/>
    <w:rsid w:val="00401855"/>
    <w:rsid w:val="00420C83"/>
    <w:rsid w:val="00423DA3"/>
    <w:rsid w:val="0043391B"/>
    <w:rsid w:val="00440F99"/>
    <w:rsid w:val="00446C3A"/>
    <w:rsid w:val="00465587"/>
    <w:rsid w:val="00474741"/>
    <w:rsid w:val="00475730"/>
    <w:rsid w:val="00477455"/>
    <w:rsid w:val="00484D37"/>
    <w:rsid w:val="00490AF4"/>
    <w:rsid w:val="004A0A39"/>
    <w:rsid w:val="004A1F7B"/>
    <w:rsid w:val="004A30DB"/>
    <w:rsid w:val="004A350D"/>
    <w:rsid w:val="004A795F"/>
    <w:rsid w:val="004B1A8D"/>
    <w:rsid w:val="004C1EBA"/>
    <w:rsid w:val="004C44D2"/>
    <w:rsid w:val="004C7A60"/>
    <w:rsid w:val="004D2831"/>
    <w:rsid w:val="004D3578"/>
    <w:rsid w:val="004D380D"/>
    <w:rsid w:val="004E1872"/>
    <w:rsid w:val="004E213A"/>
    <w:rsid w:val="004E6F5D"/>
    <w:rsid w:val="004F4540"/>
    <w:rsid w:val="004F73A7"/>
    <w:rsid w:val="00503171"/>
    <w:rsid w:val="00506C28"/>
    <w:rsid w:val="00506E71"/>
    <w:rsid w:val="0050728C"/>
    <w:rsid w:val="00534DA0"/>
    <w:rsid w:val="00536D78"/>
    <w:rsid w:val="00543E6C"/>
    <w:rsid w:val="00547C2C"/>
    <w:rsid w:val="00565087"/>
    <w:rsid w:val="0056573F"/>
    <w:rsid w:val="00567EB6"/>
    <w:rsid w:val="00571279"/>
    <w:rsid w:val="00572E9F"/>
    <w:rsid w:val="005930C4"/>
    <w:rsid w:val="0059533A"/>
    <w:rsid w:val="005A13AB"/>
    <w:rsid w:val="005A49C6"/>
    <w:rsid w:val="005B3E0F"/>
    <w:rsid w:val="005C766E"/>
    <w:rsid w:val="005C7CD5"/>
    <w:rsid w:val="005D051A"/>
    <w:rsid w:val="005E222C"/>
    <w:rsid w:val="005E295D"/>
    <w:rsid w:val="005F3A4B"/>
    <w:rsid w:val="005F644A"/>
    <w:rsid w:val="0060193D"/>
    <w:rsid w:val="00603060"/>
    <w:rsid w:val="00611566"/>
    <w:rsid w:val="006249BD"/>
    <w:rsid w:val="00626DF1"/>
    <w:rsid w:val="00627942"/>
    <w:rsid w:val="0063766B"/>
    <w:rsid w:val="0064576D"/>
    <w:rsid w:val="00646D99"/>
    <w:rsid w:val="00656910"/>
    <w:rsid w:val="006574C0"/>
    <w:rsid w:val="006731C0"/>
    <w:rsid w:val="00673702"/>
    <w:rsid w:val="00691888"/>
    <w:rsid w:val="00696821"/>
    <w:rsid w:val="006A6EB9"/>
    <w:rsid w:val="006C4138"/>
    <w:rsid w:val="006C66D8"/>
    <w:rsid w:val="006C780F"/>
    <w:rsid w:val="006D1E24"/>
    <w:rsid w:val="006D35DE"/>
    <w:rsid w:val="006E1057"/>
    <w:rsid w:val="006E1417"/>
    <w:rsid w:val="006E4D76"/>
    <w:rsid w:val="006E763E"/>
    <w:rsid w:val="006F6A2C"/>
    <w:rsid w:val="007069DC"/>
    <w:rsid w:val="00710201"/>
    <w:rsid w:val="007139BC"/>
    <w:rsid w:val="0072073A"/>
    <w:rsid w:val="007266E7"/>
    <w:rsid w:val="00733CA2"/>
    <w:rsid w:val="007342B5"/>
    <w:rsid w:val="00734A5B"/>
    <w:rsid w:val="00744E76"/>
    <w:rsid w:val="007474B9"/>
    <w:rsid w:val="00753E2B"/>
    <w:rsid w:val="00755453"/>
    <w:rsid w:val="00757D40"/>
    <w:rsid w:val="00764106"/>
    <w:rsid w:val="007662B5"/>
    <w:rsid w:val="00770895"/>
    <w:rsid w:val="00781F0F"/>
    <w:rsid w:val="0078727C"/>
    <w:rsid w:val="0079049D"/>
    <w:rsid w:val="00793DC5"/>
    <w:rsid w:val="00796823"/>
    <w:rsid w:val="007A2E55"/>
    <w:rsid w:val="007B03FA"/>
    <w:rsid w:val="007B18D8"/>
    <w:rsid w:val="007C095F"/>
    <w:rsid w:val="007C2DD0"/>
    <w:rsid w:val="007D09F9"/>
    <w:rsid w:val="007D22E1"/>
    <w:rsid w:val="007E5A10"/>
    <w:rsid w:val="007F2E08"/>
    <w:rsid w:val="008024FA"/>
    <w:rsid w:val="008028A4"/>
    <w:rsid w:val="0080770D"/>
    <w:rsid w:val="00813245"/>
    <w:rsid w:val="008165A2"/>
    <w:rsid w:val="008361BA"/>
    <w:rsid w:val="00840DE0"/>
    <w:rsid w:val="00847CD0"/>
    <w:rsid w:val="008607A8"/>
    <w:rsid w:val="0086354A"/>
    <w:rsid w:val="00872ABF"/>
    <w:rsid w:val="00875F8B"/>
    <w:rsid w:val="008768CA"/>
    <w:rsid w:val="00877719"/>
    <w:rsid w:val="00877EF9"/>
    <w:rsid w:val="00880559"/>
    <w:rsid w:val="00890A7D"/>
    <w:rsid w:val="008B2C63"/>
    <w:rsid w:val="008B5306"/>
    <w:rsid w:val="008C2998"/>
    <w:rsid w:val="008C2E2A"/>
    <w:rsid w:val="008C3057"/>
    <w:rsid w:val="008D2E4D"/>
    <w:rsid w:val="008D3EEC"/>
    <w:rsid w:val="008D5584"/>
    <w:rsid w:val="008E439F"/>
    <w:rsid w:val="008E63B0"/>
    <w:rsid w:val="008F396F"/>
    <w:rsid w:val="008F3DCD"/>
    <w:rsid w:val="0090271F"/>
    <w:rsid w:val="00902A6E"/>
    <w:rsid w:val="00902DB9"/>
    <w:rsid w:val="0090466A"/>
    <w:rsid w:val="00923655"/>
    <w:rsid w:val="00930102"/>
    <w:rsid w:val="00932A5C"/>
    <w:rsid w:val="009339CB"/>
    <w:rsid w:val="00936071"/>
    <w:rsid w:val="009376CD"/>
    <w:rsid w:val="009379E5"/>
    <w:rsid w:val="00940212"/>
    <w:rsid w:val="00942EC2"/>
    <w:rsid w:val="009446F2"/>
    <w:rsid w:val="00950BCC"/>
    <w:rsid w:val="00954E2C"/>
    <w:rsid w:val="00961B32"/>
    <w:rsid w:val="00962509"/>
    <w:rsid w:val="00963FE5"/>
    <w:rsid w:val="009678BA"/>
    <w:rsid w:val="00970DB3"/>
    <w:rsid w:val="00974BB0"/>
    <w:rsid w:val="00975BCD"/>
    <w:rsid w:val="009928A9"/>
    <w:rsid w:val="009A0AF3"/>
    <w:rsid w:val="009A0E1D"/>
    <w:rsid w:val="009A2D16"/>
    <w:rsid w:val="009B07CD"/>
    <w:rsid w:val="009C19E9"/>
    <w:rsid w:val="009D74A6"/>
    <w:rsid w:val="009E0E87"/>
    <w:rsid w:val="00A04FE0"/>
    <w:rsid w:val="00A10F02"/>
    <w:rsid w:val="00A204CA"/>
    <w:rsid w:val="00A20786"/>
    <w:rsid w:val="00A209D6"/>
    <w:rsid w:val="00A22738"/>
    <w:rsid w:val="00A23154"/>
    <w:rsid w:val="00A32ABD"/>
    <w:rsid w:val="00A36F5F"/>
    <w:rsid w:val="00A37006"/>
    <w:rsid w:val="00A430D9"/>
    <w:rsid w:val="00A430EC"/>
    <w:rsid w:val="00A463A9"/>
    <w:rsid w:val="00A53724"/>
    <w:rsid w:val="00A54B2B"/>
    <w:rsid w:val="00A703B6"/>
    <w:rsid w:val="00A754A3"/>
    <w:rsid w:val="00A75514"/>
    <w:rsid w:val="00A82346"/>
    <w:rsid w:val="00A84D62"/>
    <w:rsid w:val="00A9671C"/>
    <w:rsid w:val="00AA1553"/>
    <w:rsid w:val="00AA1A7E"/>
    <w:rsid w:val="00AB3480"/>
    <w:rsid w:val="00AD6326"/>
    <w:rsid w:val="00AF2158"/>
    <w:rsid w:val="00AF4406"/>
    <w:rsid w:val="00B03BE6"/>
    <w:rsid w:val="00B05380"/>
    <w:rsid w:val="00B05962"/>
    <w:rsid w:val="00B15449"/>
    <w:rsid w:val="00B16C2F"/>
    <w:rsid w:val="00B203D6"/>
    <w:rsid w:val="00B27303"/>
    <w:rsid w:val="00B3006F"/>
    <w:rsid w:val="00B32DC2"/>
    <w:rsid w:val="00B46ADE"/>
    <w:rsid w:val="00B47FD1"/>
    <w:rsid w:val="00B50385"/>
    <w:rsid w:val="00B506D0"/>
    <w:rsid w:val="00B516BB"/>
    <w:rsid w:val="00B55818"/>
    <w:rsid w:val="00B64E89"/>
    <w:rsid w:val="00B676B8"/>
    <w:rsid w:val="00B702CA"/>
    <w:rsid w:val="00B7538C"/>
    <w:rsid w:val="00B77300"/>
    <w:rsid w:val="00B84043"/>
    <w:rsid w:val="00B84DB2"/>
    <w:rsid w:val="00B84FD2"/>
    <w:rsid w:val="00B863DB"/>
    <w:rsid w:val="00B94E6B"/>
    <w:rsid w:val="00BA4582"/>
    <w:rsid w:val="00BB016A"/>
    <w:rsid w:val="00BC0D5E"/>
    <w:rsid w:val="00BC3555"/>
    <w:rsid w:val="00BC544C"/>
    <w:rsid w:val="00BD472A"/>
    <w:rsid w:val="00BD4B56"/>
    <w:rsid w:val="00BD5A75"/>
    <w:rsid w:val="00BD722D"/>
    <w:rsid w:val="00BE765F"/>
    <w:rsid w:val="00C00816"/>
    <w:rsid w:val="00C05A3F"/>
    <w:rsid w:val="00C12B51"/>
    <w:rsid w:val="00C24650"/>
    <w:rsid w:val="00C25465"/>
    <w:rsid w:val="00C26B9F"/>
    <w:rsid w:val="00C33079"/>
    <w:rsid w:val="00C42A96"/>
    <w:rsid w:val="00C5112D"/>
    <w:rsid w:val="00C55A12"/>
    <w:rsid w:val="00C602AF"/>
    <w:rsid w:val="00C6553E"/>
    <w:rsid w:val="00C66330"/>
    <w:rsid w:val="00C8092E"/>
    <w:rsid w:val="00C83A13"/>
    <w:rsid w:val="00C86F10"/>
    <w:rsid w:val="00C9068C"/>
    <w:rsid w:val="00C92967"/>
    <w:rsid w:val="00CA3D0C"/>
    <w:rsid w:val="00CA654B"/>
    <w:rsid w:val="00CA6573"/>
    <w:rsid w:val="00CB72B8"/>
    <w:rsid w:val="00CC18E5"/>
    <w:rsid w:val="00CD0BA8"/>
    <w:rsid w:val="00CD25D7"/>
    <w:rsid w:val="00CD442F"/>
    <w:rsid w:val="00CD4C7B"/>
    <w:rsid w:val="00CD58FE"/>
    <w:rsid w:val="00D16A53"/>
    <w:rsid w:val="00D33BE3"/>
    <w:rsid w:val="00D3792D"/>
    <w:rsid w:val="00D55E47"/>
    <w:rsid w:val="00D62E19"/>
    <w:rsid w:val="00D67ADD"/>
    <w:rsid w:val="00D67CD1"/>
    <w:rsid w:val="00D738D6"/>
    <w:rsid w:val="00D744F7"/>
    <w:rsid w:val="00D76D85"/>
    <w:rsid w:val="00D80795"/>
    <w:rsid w:val="00D854BE"/>
    <w:rsid w:val="00D87E00"/>
    <w:rsid w:val="00D9134D"/>
    <w:rsid w:val="00D91BEA"/>
    <w:rsid w:val="00D96D11"/>
    <w:rsid w:val="00DA2FF2"/>
    <w:rsid w:val="00DA6647"/>
    <w:rsid w:val="00DA7A03"/>
    <w:rsid w:val="00DB0DB8"/>
    <w:rsid w:val="00DB1818"/>
    <w:rsid w:val="00DC309B"/>
    <w:rsid w:val="00DC4DA2"/>
    <w:rsid w:val="00DC5261"/>
    <w:rsid w:val="00DC54C6"/>
    <w:rsid w:val="00DC73DD"/>
    <w:rsid w:val="00DC7D3E"/>
    <w:rsid w:val="00DE25D2"/>
    <w:rsid w:val="00DF7C20"/>
    <w:rsid w:val="00E115A3"/>
    <w:rsid w:val="00E130C3"/>
    <w:rsid w:val="00E3466F"/>
    <w:rsid w:val="00E40797"/>
    <w:rsid w:val="00E46C08"/>
    <w:rsid w:val="00E471CF"/>
    <w:rsid w:val="00E62835"/>
    <w:rsid w:val="00E6655D"/>
    <w:rsid w:val="00E77645"/>
    <w:rsid w:val="00E83697"/>
    <w:rsid w:val="00E83D96"/>
    <w:rsid w:val="00E859B6"/>
    <w:rsid w:val="00E954B8"/>
    <w:rsid w:val="00E96035"/>
    <w:rsid w:val="00EA4A18"/>
    <w:rsid w:val="00EA66C9"/>
    <w:rsid w:val="00EB2179"/>
    <w:rsid w:val="00EB5D32"/>
    <w:rsid w:val="00EC484B"/>
    <w:rsid w:val="00EC4A25"/>
    <w:rsid w:val="00ED5032"/>
    <w:rsid w:val="00EF612C"/>
    <w:rsid w:val="00F025A2"/>
    <w:rsid w:val="00F02E35"/>
    <w:rsid w:val="00F036E9"/>
    <w:rsid w:val="00F07388"/>
    <w:rsid w:val="00F15ED5"/>
    <w:rsid w:val="00F2026E"/>
    <w:rsid w:val="00F21F92"/>
    <w:rsid w:val="00F2210A"/>
    <w:rsid w:val="00F2625D"/>
    <w:rsid w:val="00F31180"/>
    <w:rsid w:val="00F31372"/>
    <w:rsid w:val="00F37743"/>
    <w:rsid w:val="00F37A16"/>
    <w:rsid w:val="00F45EF4"/>
    <w:rsid w:val="00F54A3D"/>
    <w:rsid w:val="00F54CB0"/>
    <w:rsid w:val="00F55AAF"/>
    <w:rsid w:val="00F579CD"/>
    <w:rsid w:val="00F6355F"/>
    <w:rsid w:val="00F653B8"/>
    <w:rsid w:val="00F71B89"/>
    <w:rsid w:val="00F7353C"/>
    <w:rsid w:val="00F746D7"/>
    <w:rsid w:val="00F76F8F"/>
    <w:rsid w:val="00F868C5"/>
    <w:rsid w:val="00F87257"/>
    <w:rsid w:val="00F91B37"/>
    <w:rsid w:val="00F941DF"/>
    <w:rsid w:val="00FA0CA0"/>
    <w:rsid w:val="00FA1266"/>
    <w:rsid w:val="00FA457F"/>
    <w:rsid w:val="00FB36FA"/>
    <w:rsid w:val="00FB3AA2"/>
    <w:rsid w:val="00FC1192"/>
    <w:rsid w:val="00FE106D"/>
    <w:rsid w:val="00FE251B"/>
    <w:rsid w:val="00FF1A5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A472ED7-1D36-4E5A-9FEC-4CBB92C64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6731C0"/>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basedOn w:val="Normal"/>
    <w:uiPriority w:val="34"/>
    <w:qFormat/>
    <w:rsid w:val="00C602AF"/>
    <w:pPr>
      <w:ind w:left="720"/>
      <w:contextualSpacing/>
    </w:pPr>
  </w:style>
  <w:style w:type="character" w:styleId="CommentReference">
    <w:name w:val="annotation reference"/>
    <w:basedOn w:val="DefaultParagraphFont"/>
    <w:rsid w:val="000C5C53"/>
    <w:rPr>
      <w:sz w:val="16"/>
      <w:szCs w:val="16"/>
    </w:rPr>
  </w:style>
  <w:style w:type="paragraph" w:styleId="CommentText">
    <w:name w:val="annotation text"/>
    <w:basedOn w:val="Normal"/>
    <w:link w:val="CommentTextChar"/>
    <w:rsid w:val="000C5C53"/>
  </w:style>
  <w:style w:type="character" w:customStyle="1" w:styleId="CommentTextChar">
    <w:name w:val="Comment Text Char"/>
    <w:basedOn w:val="DefaultParagraphFont"/>
    <w:link w:val="CommentText"/>
    <w:rsid w:val="000C5C53"/>
    <w:rPr>
      <w:lang w:eastAsia="en-US"/>
    </w:rPr>
  </w:style>
  <w:style w:type="paragraph" w:styleId="CommentSubject">
    <w:name w:val="annotation subject"/>
    <w:basedOn w:val="CommentText"/>
    <w:next w:val="CommentText"/>
    <w:link w:val="CommentSubjectChar"/>
    <w:rsid w:val="000C5C53"/>
    <w:rPr>
      <w:b/>
      <w:bCs/>
    </w:rPr>
  </w:style>
  <w:style w:type="character" w:customStyle="1" w:styleId="CommentSubjectChar">
    <w:name w:val="Comment Subject Char"/>
    <w:basedOn w:val="CommentTextChar"/>
    <w:link w:val="CommentSubject"/>
    <w:rsid w:val="000C5C53"/>
    <w:rPr>
      <w:b/>
      <w:bCs/>
      <w:lang w:eastAsia="en-US"/>
    </w:rPr>
  </w:style>
  <w:style w:type="paragraph" w:styleId="Revision">
    <w:name w:val="Revision"/>
    <w:hidden/>
    <w:uiPriority w:val="99"/>
    <w:semiHidden/>
    <w:rsid w:val="009A0E1D"/>
    <w:rPr>
      <w:lang w:eastAsia="en-US"/>
    </w:rPr>
  </w:style>
  <w:style w:type="character" w:customStyle="1" w:styleId="PLChar">
    <w:name w:val="PL Char"/>
    <w:link w:val="PL"/>
    <w:qFormat/>
    <w:rsid w:val="007E5A10"/>
    <w:rPr>
      <w:rFonts w:ascii="Courier New" w:hAnsi="Courier New"/>
      <w:noProof/>
      <w:sz w:val="16"/>
      <w:lang w:eastAsia="en-US"/>
    </w:rPr>
  </w:style>
  <w:style w:type="character" w:styleId="Mention">
    <w:name w:val="Mention"/>
    <w:basedOn w:val="DefaultParagraphFont"/>
    <w:uiPriority w:val="99"/>
    <w:unhideWhenUsed/>
    <w:rsid w:val="00CD25D7"/>
    <w:rPr>
      <w:color w:val="2B579A"/>
      <w:shd w:val="clear" w:color="auto" w:fill="E1DFDD"/>
    </w:rPr>
  </w:style>
  <w:style w:type="character" w:customStyle="1" w:styleId="TALCar">
    <w:name w:val="TAL Car"/>
    <w:link w:val="TAL"/>
    <w:qFormat/>
    <w:locked/>
    <w:rsid w:val="00627942"/>
    <w:rPr>
      <w:rFonts w:ascii="Arial" w:hAnsi="Arial"/>
      <w:sz w:val="18"/>
      <w:lang w:eastAsia="en-US"/>
    </w:rPr>
  </w:style>
  <w:style w:type="table" w:styleId="TableGrid">
    <w:name w:val="Table Grid"/>
    <w:basedOn w:val="TableNormal"/>
    <w:uiPriority w:val="39"/>
    <w:qFormat/>
    <w:rsid w:val="001D6FA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8185569">
      <w:bodyDiv w:val="1"/>
      <w:marLeft w:val="0"/>
      <w:marRight w:val="0"/>
      <w:marTop w:val="0"/>
      <w:marBottom w:val="0"/>
      <w:divBdr>
        <w:top w:val="none" w:sz="0" w:space="0" w:color="auto"/>
        <w:left w:val="none" w:sz="0" w:space="0" w:color="auto"/>
        <w:bottom w:val="none" w:sz="0" w:space="0" w:color="auto"/>
        <w:right w:val="none" w:sz="0" w:space="0" w:color="auto"/>
      </w:divBdr>
    </w:div>
    <w:div w:id="53936758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69288130">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191531480">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58829235">
      <w:bodyDiv w:val="1"/>
      <w:marLeft w:val="0"/>
      <w:marRight w:val="0"/>
      <w:marTop w:val="0"/>
      <w:marBottom w:val="0"/>
      <w:divBdr>
        <w:top w:val="none" w:sz="0" w:space="0" w:color="auto"/>
        <w:left w:val="none" w:sz="0" w:space="0" w:color="auto"/>
        <w:bottom w:val="none" w:sz="0" w:space="0" w:color="auto"/>
        <w:right w:val="none" w:sz="0" w:space="0" w:color="auto"/>
      </w:divBdr>
    </w:div>
    <w:div w:id="1334723724">
      <w:bodyDiv w:val="1"/>
      <w:marLeft w:val="0"/>
      <w:marRight w:val="0"/>
      <w:marTop w:val="0"/>
      <w:marBottom w:val="0"/>
      <w:divBdr>
        <w:top w:val="none" w:sz="0" w:space="0" w:color="auto"/>
        <w:left w:val="none" w:sz="0" w:space="0" w:color="auto"/>
        <w:bottom w:val="none" w:sz="0" w:space="0" w:color="auto"/>
        <w:right w:val="none" w:sz="0" w:space="0" w:color="auto"/>
      </w:divBdr>
    </w:div>
    <w:div w:id="1882589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ftp://ftp.3gpp.org/tsg_ran/WG2_RL2/TSGR2_81/Docs//R2-130589.zip"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5AIRPNAIUNRU-859666464-14321</_dlc_DocId>
    <_dlc_DocIdUrl xmlns="71c5aaf6-e6ce-465b-b873-5148d2a4c105">
      <Url>https://nokia.sharepoint.com/sites/c5g/e2earch/_layouts/15/DocIdRedir.aspx?ID=5AIRPNAIUNRU-859666464-14321</Url>
      <Description>5AIRPNAIUNRU-859666464-14321</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8ED1FF41-9130-4FBF-B742-64100F73850B}">
  <ds:schemaRefs>
    <ds:schemaRef ds:uri="http://schemas.openxmlformats.org/package/2006/metadata/core-properties"/>
    <ds:schemaRef ds:uri="3b34c8f0-1ef5-4d1e-bb66-517ce7fe7356"/>
    <ds:schemaRef ds:uri="http://purl.org/dc/elements/1.1/"/>
    <ds:schemaRef ds:uri="http://www.w3.org/XML/1998/namespace"/>
    <ds:schemaRef ds:uri="71c5aaf6-e6ce-465b-b873-5148d2a4c105"/>
    <ds:schemaRef ds:uri="http://schemas.microsoft.com/office/infopath/2007/PartnerControls"/>
    <ds:schemaRef ds:uri="http://schemas.microsoft.com/office/2006/documentManagement/types"/>
    <ds:schemaRef ds:uri="http://purl.org/dc/dcmitype/"/>
    <ds:schemaRef ds:uri="83f22d2f-d16e-4be6-ad4f-29fa0b067c3c"/>
    <ds:schemaRef ds:uri="a3840f4f-04be-43d1-b2ef-6ff1382503c7"/>
    <ds:schemaRef ds:uri="http://schemas.microsoft.com/office/2006/metadata/properties"/>
    <ds:schemaRef ds:uri="http://purl.org/dc/terms/"/>
  </ds:schemaRefs>
</ds:datastoreItem>
</file>

<file path=customXml/itemProps5.xml><?xml version="1.0" encoding="utf-8"?>
<ds:datastoreItem xmlns:ds="http://schemas.openxmlformats.org/officeDocument/2006/customXml" ds:itemID="{84B3571E-0C31-4131-A2D8-D6963D47AC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960</TotalTime>
  <Pages>2</Pages>
  <Words>680</Words>
  <Characters>3539</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4211</CharactersWithSpaces>
  <SharedDoc>false</SharedDoc>
  <HyperlinkBase/>
  <HLinks>
    <vt:vector size="6" baseType="variant">
      <vt:variant>
        <vt:i4>6750299</vt:i4>
      </vt:variant>
      <vt:variant>
        <vt:i4>0</vt:i4>
      </vt:variant>
      <vt:variant>
        <vt:i4>0</vt:i4>
      </vt:variant>
      <vt:variant>
        <vt:i4>5</vt:i4>
      </vt:variant>
      <vt:variant>
        <vt:lpwstr>ftp://ftp.3gpp.org/tsg_ran/WG2_RL2/TSGR2_81/Docs//R2-130589.zip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(Jarkko)</cp:lastModifiedBy>
  <cp:revision>163</cp:revision>
  <dcterms:created xsi:type="dcterms:W3CDTF">2022-06-08T00:00:00Z</dcterms:created>
  <dcterms:modified xsi:type="dcterms:W3CDTF">2023-05-12T08:29:00Z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bba3984a-223a-4037-bf74-0e541e56812b</vt:lpwstr>
  </property>
</Properties>
</file>